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8" w:rsidRDefault="00137926">
      <w:pPr>
        <w:spacing w:after="240" w:line="240" w:lineRule="auto"/>
        <w:jc w:val="center"/>
        <w:rPr>
          <w:rFonts w:ascii="Times New Roman" w:hAnsi="Times New Roman"/>
          <w:sz w:val="24"/>
        </w:rPr>
      </w:pPr>
      <w:r w:rsidRPr="00137926">
        <w:rPr>
          <w:noProof/>
        </w:rPr>
        <w:pict>
          <v:shape id="_x0000_s1026" style="position:absolute;left:0;text-align:left;margin-left:0;margin-top:0;width:322pt;height:106pt;z-index:-1;mso-position-horizontal:center" coordsize="21600,21600" o:spt="100" wrapcoords="-47 0 -47 21447 21600 21447 21600 0 -47 0" adj="0,,0" path="">
            <v:stroke joinstyle="round"/>
            <v:imagedata r:id="rId7" o:title="" cropleft="2273f" cropright="2273f"/>
            <v:formulas/>
            <v:path o:connecttype="segments"/>
            <w10:wrap type="tight"/>
          </v:shape>
        </w:pict>
      </w:r>
    </w:p>
    <w:p w:rsidR="004874D7" w:rsidRDefault="004874D7">
      <w:pPr>
        <w:spacing w:after="0" w:line="240" w:lineRule="auto"/>
        <w:jc w:val="center"/>
        <w:rPr>
          <w:rFonts w:ascii="Tahoma Bold" w:hAnsi="Tahoma Bold"/>
          <w:sz w:val="32"/>
        </w:rPr>
      </w:pPr>
    </w:p>
    <w:p w:rsidR="004874D7" w:rsidRDefault="004874D7">
      <w:pPr>
        <w:spacing w:after="0" w:line="240" w:lineRule="auto"/>
        <w:jc w:val="center"/>
        <w:rPr>
          <w:rFonts w:ascii="Tahoma Bold" w:hAnsi="Tahoma Bold"/>
          <w:sz w:val="32"/>
        </w:rPr>
      </w:pPr>
    </w:p>
    <w:p w:rsidR="004874D7" w:rsidRDefault="004874D7">
      <w:pPr>
        <w:spacing w:after="0" w:line="240" w:lineRule="auto"/>
        <w:jc w:val="center"/>
        <w:rPr>
          <w:rFonts w:ascii="Tahoma Bold" w:hAnsi="Tahoma Bold"/>
          <w:sz w:val="32"/>
        </w:rPr>
      </w:pPr>
    </w:p>
    <w:p w:rsidR="004874D7" w:rsidRDefault="004874D7">
      <w:pPr>
        <w:spacing w:after="0" w:line="240" w:lineRule="auto"/>
        <w:jc w:val="center"/>
        <w:rPr>
          <w:rFonts w:ascii="Tahoma Bold" w:hAnsi="Tahoma Bold"/>
          <w:sz w:val="32"/>
        </w:rPr>
      </w:pPr>
    </w:p>
    <w:p w:rsidR="004874D7" w:rsidRDefault="004874D7">
      <w:pPr>
        <w:spacing w:after="0" w:line="240" w:lineRule="auto"/>
        <w:jc w:val="center"/>
        <w:rPr>
          <w:rFonts w:ascii="Tahoma Bold" w:hAnsi="Tahoma Bold"/>
          <w:sz w:val="32"/>
        </w:rPr>
      </w:pPr>
    </w:p>
    <w:p w:rsidR="00A24998" w:rsidRDefault="00A2499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ahoma Bold" w:hAnsi="Tahoma Bold"/>
          <w:sz w:val="32"/>
        </w:rPr>
        <w:t>PTO Grant Program</w:t>
      </w:r>
      <w:r w:rsidR="00882A9C">
        <w:rPr>
          <w:rFonts w:ascii="Tahoma Bold" w:hAnsi="Tahoma Bold"/>
          <w:sz w:val="32"/>
        </w:rPr>
        <w:t xml:space="preserve"> Guidelines</w:t>
      </w:r>
    </w:p>
    <w:p w:rsidR="00A24998" w:rsidRDefault="00A24998">
      <w:pPr>
        <w:spacing w:after="0" w:line="240" w:lineRule="auto"/>
        <w:rPr>
          <w:rFonts w:ascii="Times New Roman" w:hAnsi="Times New Roman"/>
          <w:sz w:val="24"/>
        </w:rPr>
      </w:pPr>
    </w:p>
    <w:p w:rsidR="00A24998" w:rsidRDefault="00A249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ahoma" w:hAnsi="Tahoma"/>
          <w:sz w:val="24"/>
        </w:rPr>
        <w:t>The Laurel Elementary Parent Teacher Organization (PTO)</w:t>
      </w:r>
      <w:r w:rsidR="001520BE">
        <w:rPr>
          <w:rFonts w:ascii="Tahoma" w:hAnsi="Tahoma"/>
          <w:sz w:val="24"/>
        </w:rPr>
        <w:t xml:space="preserve"> </w:t>
      </w:r>
      <w:r w:rsidR="00882A9C">
        <w:rPr>
          <w:rFonts w:ascii="Tahoma" w:hAnsi="Tahoma"/>
          <w:sz w:val="24"/>
        </w:rPr>
        <w:t xml:space="preserve">sponsors a Grant Making Process twice a year, in the </w:t>
      </w:r>
      <w:proofErr w:type="gramStart"/>
      <w:r w:rsidR="00882A9C">
        <w:rPr>
          <w:rFonts w:ascii="Tahoma" w:hAnsi="Tahoma"/>
          <w:sz w:val="24"/>
        </w:rPr>
        <w:t>Fall</w:t>
      </w:r>
      <w:proofErr w:type="gramEnd"/>
      <w:r w:rsidR="00882A9C">
        <w:rPr>
          <w:rFonts w:ascii="Tahoma" w:hAnsi="Tahoma"/>
          <w:sz w:val="24"/>
        </w:rPr>
        <w:t xml:space="preserve"> and Spring. The PTO </w:t>
      </w:r>
      <w:r>
        <w:rPr>
          <w:rFonts w:ascii="Tahoma" w:hAnsi="Tahoma"/>
          <w:sz w:val="24"/>
        </w:rPr>
        <w:t>award</w:t>
      </w:r>
      <w:r w:rsidR="00882A9C">
        <w:rPr>
          <w:rFonts w:ascii="Tahoma" w:hAnsi="Tahoma"/>
          <w:sz w:val="24"/>
        </w:rPr>
        <w:t>s</w:t>
      </w:r>
      <w:r>
        <w:rPr>
          <w:rFonts w:ascii="Tahoma" w:hAnsi="Tahoma"/>
          <w:sz w:val="24"/>
        </w:rPr>
        <w:t xml:space="preserve"> grants to support activities that enhance ou</w:t>
      </w:r>
      <w:r w:rsidR="00882A9C">
        <w:rPr>
          <w:rFonts w:ascii="Tahoma" w:hAnsi="Tahoma"/>
          <w:sz w:val="24"/>
        </w:rPr>
        <w:t xml:space="preserve">r children’s learning, and which are in alignment with our Grant Rubric (attached). </w:t>
      </w:r>
      <w:r w:rsidR="003805B8">
        <w:rPr>
          <w:rFonts w:ascii="Tahoma" w:hAnsi="Tahoma"/>
          <w:sz w:val="24"/>
        </w:rPr>
        <w:t xml:space="preserve">The </w:t>
      </w:r>
      <w:r>
        <w:rPr>
          <w:rFonts w:ascii="Tahoma" w:hAnsi="Tahoma"/>
          <w:sz w:val="24"/>
        </w:rPr>
        <w:t>grant program is supported by PTO fundraising activities held throughout the year. Laurel PreK-5 teachers, paraprofessionals, support staff, volunteers, parents, and students are elig</w:t>
      </w:r>
      <w:r w:rsidR="003805B8">
        <w:rPr>
          <w:rFonts w:ascii="Tahoma" w:hAnsi="Tahoma"/>
          <w:sz w:val="24"/>
        </w:rPr>
        <w:t xml:space="preserve">ible to participate in the grant program. </w:t>
      </w:r>
    </w:p>
    <w:p w:rsidR="00A24998" w:rsidRDefault="00A24998">
      <w:pPr>
        <w:spacing w:after="0" w:line="240" w:lineRule="auto"/>
        <w:rPr>
          <w:rFonts w:ascii="Times New Roman" w:hAnsi="Times New Roman"/>
          <w:sz w:val="24"/>
        </w:rPr>
      </w:pPr>
    </w:p>
    <w:p w:rsidR="00A24998" w:rsidRDefault="00A24998">
      <w:pPr>
        <w:spacing w:after="0" w:line="240" w:lineRule="auto"/>
        <w:jc w:val="both"/>
        <w:rPr>
          <w:rFonts w:ascii="Tahoma Bold" w:hAnsi="Tahoma Bold"/>
          <w:sz w:val="24"/>
        </w:rPr>
      </w:pPr>
      <w:r>
        <w:rPr>
          <w:rFonts w:ascii="Tahoma Bold" w:hAnsi="Tahoma Bold"/>
          <w:sz w:val="24"/>
        </w:rPr>
        <w:t>Grant Application Process</w:t>
      </w:r>
    </w:p>
    <w:p w:rsidR="0078642C" w:rsidRDefault="007864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4998" w:rsidRDefault="00A2499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Grant applications will be available on the Laurel Elementary school website</w:t>
      </w:r>
      <w:r w:rsidR="003805B8">
        <w:rPr>
          <w:rFonts w:ascii="Tahoma" w:hAnsi="Tahoma"/>
          <w:sz w:val="24"/>
        </w:rPr>
        <w:t>, online submittals only. If you need assistance with submitting a grant, contact the Grant Coordinator.</w:t>
      </w:r>
    </w:p>
    <w:p w:rsidR="00A24998" w:rsidRDefault="00A2499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Applications must be completed in</w:t>
      </w:r>
      <w:r w:rsidR="003805B8">
        <w:rPr>
          <w:rFonts w:ascii="Tahoma" w:hAnsi="Tahoma"/>
          <w:sz w:val="24"/>
        </w:rPr>
        <w:t xml:space="preserve"> full and submitted to the PTO </w:t>
      </w:r>
      <w:r>
        <w:rPr>
          <w:rFonts w:ascii="Tahoma" w:hAnsi="Tahoma"/>
          <w:sz w:val="24"/>
        </w:rPr>
        <w:t xml:space="preserve">via </w:t>
      </w:r>
      <w:r w:rsidR="003805B8">
        <w:rPr>
          <w:rFonts w:ascii="Tahoma" w:hAnsi="Tahoma"/>
          <w:sz w:val="24"/>
        </w:rPr>
        <w:t xml:space="preserve">online form </w:t>
      </w:r>
      <w:r>
        <w:rPr>
          <w:rFonts w:ascii="Tahoma" w:hAnsi="Tahoma"/>
          <w:sz w:val="24"/>
        </w:rPr>
        <w:t xml:space="preserve">by the deadlines outlined </w:t>
      </w:r>
      <w:r w:rsidR="00AF7E14">
        <w:rPr>
          <w:rFonts w:ascii="Tahoma" w:hAnsi="Tahoma"/>
          <w:sz w:val="24"/>
        </w:rPr>
        <w:t>on the form</w:t>
      </w:r>
      <w:r>
        <w:rPr>
          <w:rFonts w:ascii="Tahoma" w:hAnsi="Tahoma"/>
          <w:sz w:val="24"/>
        </w:rPr>
        <w:t xml:space="preserve"> to be considered for funding. Applicants can submit more than one (1) proposal per funding cycle.</w:t>
      </w:r>
    </w:p>
    <w:p w:rsidR="00A24998" w:rsidRDefault="00A2499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Eligible applications will be emailed to the PTO General Membership the Monday prior to the monthly PTO meeting. </w:t>
      </w:r>
    </w:p>
    <w:p w:rsidR="00A24998" w:rsidRDefault="00A2499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Applications will be scored by the PTO general membership during the monthly meeting. </w:t>
      </w:r>
    </w:p>
    <w:p w:rsidR="00A24998" w:rsidRDefault="00A2499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Applicants will conduct a three (3) minute presentation at the PTO monthly meeting. The presentation will be followed by a five (5) minute question &amp; answer period by the PTO general membership. </w:t>
      </w:r>
    </w:p>
    <w:p w:rsidR="00A24998" w:rsidRDefault="003805B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 PTO </w:t>
      </w:r>
      <w:r w:rsidR="00A24998">
        <w:rPr>
          <w:rFonts w:ascii="Tahoma" w:hAnsi="Tahoma"/>
          <w:sz w:val="24"/>
        </w:rPr>
        <w:t xml:space="preserve">grant committee, consisting at a minimum </w:t>
      </w:r>
      <w:r>
        <w:rPr>
          <w:rFonts w:ascii="Tahoma" w:hAnsi="Tahoma"/>
          <w:sz w:val="24"/>
        </w:rPr>
        <w:t xml:space="preserve">including </w:t>
      </w:r>
      <w:r w:rsidR="00A24998">
        <w:rPr>
          <w:rFonts w:ascii="Tahoma" w:hAnsi="Tahoma"/>
          <w:sz w:val="24"/>
        </w:rPr>
        <w:t>the PTO President, two (2) teachers and two (2) parents, will tally the scorecards and rank projects. The committee will have discretion to rank applications that receive the same score.</w:t>
      </w:r>
    </w:p>
    <w:p w:rsidR="00A24998" w:rsidRDefault="00A24998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Applicants and the PTO general membership will be notified by email of grant status within one (1) week of the PTO meeting. </w:t>
      </w:r>
    </w:p>
    <w:p w:rsidR="00A24998" w:rsidRDefault="00A24998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If approved, applicant will submit a brief project</w:t>
      </w:r>
      <w:r w:rsidR="0067288C">
        <w:rPr>
          <w:rFonts w:ascii="Tahoma" w:hAnsi="Tahoma"/>
          <w:sz w:val="24"/>
        </w:rPr>
        <w:t xml:space="preserve"> update to the PTO later that</w:t>
      </w:r>
      <w:r>
        <w:rPr>
          <w:rFonts w:ascii="Tahoma" w:hAnsi="Tahoma"/>
          <w:sz w:val="24"/>
        </w:rPr>
        <w:t xml:space="preserve"> school year.</w:t>
      </w:r>
    </w:p>
    <w:p w:rsidR="00A24998" w:rsidRDefault="00A24998">
      <w:pPr>
        <w:spacing w:after="0" w:line="240" w:lineRule="auto"/>
        <w:jc w:val="both"/>
        <w:rPr>
          <w:rFonts w:ascii="Tahoma Bold" w:hAnsi="Tahoma Bold"/>
          <w:sz w:val="24"/>
        </w:rPr>
      </w:pPr>
    </w:p>
    <w:p w:rsidR="00A24998" w:rsidRDefault="00A24998">
      <w:pPr>
        <w:spacing w:after="0" w:line="240" w:lineRule="auto"/>
        <w:jc w:val="both"/>
        <w:rPr>
          <w:rFonts w:ascii="Tahoma Bold" w:hAnsi="Tahoma Bold"/>
          <w:sz w:val="24"/>
        </w:rPr>
      </w:pPr>
      <w:r>
        <w:rPr>
          <w:rFonts w:ascii="Tahoma Bold" w:hAnsi="Tahoma Bold"/>
          <w:sz w:val="24"/>
        </w:rPr>
        <w:t>Funding</w:t>
      </w:r>
    </w:p>
    <w:p w:rsidR="0078642C" w:rsidRDefault="007864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4998" w:rsidRDefault="003805B8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Seventy percent (70%) of the </w:t>
      </w:r>
      <w:r w:rsidR="00A24998">
        <w:rPr>
          <w:rFonts w:ascii="Tahoma" w:hAnsi="Tahoma"/>
          <w:sz w:val="24"/>
        </w:rPr>
        <w:t xml:space="preserve">grant budget will be allocated in the first funding cycle as most applications are submitted in the </w:t>
      </w:r>
      <w:proofErr w:type="gramStart"/>
      <w:r w:rsidR="00A24998">
        <w:rPr>
          <w:rFonts w:ascii="Tahoma" w:hAnsi="Tahoma"/>
          <w:sz w:val="24"/>
        </w:rPr>
        <w:t>Fall</w:t>
      </w:r>
      <w:proofErr w:type="gramEnd"/>
      <w:r w:rsidR="00A24998">
        <w:rPr>
          <w:rFonts w:ascii="Tahoma" w:hAnsi="Tahoma"/>
          <w:sz w:val="24"/>
        </w:rPr>
        <w:t>.</w:t>
      </w:r>
    </w:p>
    <w:p w:rsidR="00A24998" w:rsidRDefault="00A24998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 xml:space="preserve">All funded items must stay at the school and become part of the school’s inventory. Technology items must be registered with Mary Jo </w:t>
      </w:r>
      <w:proofErr w:type="spellStart"/>
      <w:r>
        <w:rPr>
          <w:rFonts w:ascii="Tahoma" w:hAnsi="Tahoma"/>
          <w:sz w:val="24"/>
        </w:rPr>
        <w:t>Gallahan</w:t>
      </w:r>
      <w:proofErr w:type="spellEnd"/>
      <w:r>
        <w:rPr>
          <w:rFonts w:ascii="Tahoma" w:hAnsi="Tahoma"/>
          <w:sz w:val="24"/>
        </w:rPr>
        <w:t>, Media &amp; Integration Specialist.</w:t>
      </w:r>
    </w:p>
    <w:p w:rsidR="00A24998" w:rsidRDefault="00A24998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All funds must be used in the school year they are award</w:t>
      </w:r>
      <w:r w:rsidR="00882A9C">
        <w:rPr>
          <w:rFonts w:ascii="Tahoma" w:hAnsi="Tahoma"/>
          <w:sz w:val="24"/>
        </w:rPr>
        <w:t xml:space="preserve">ed (unless funds awarded in the </w:t>
      </w:r>
      <w:proofErr w:type="gramStart"/>
      <w:r w:rsidR="00882A9C">
        <w:rPr>
          <w:rFonts w:ascii="Tahoma" w:hAnsi="Tahoma"/>
          <w:sz w:val="24"/>
        </w:rPr>
        <w:t>Spring</w:t>
      </w:r>
      <w:proofErr w:type="gramEnd"/>
      <w:r w:rsidR="00882A9C">
        <w:rPr>
          <w:rFonts w:ascii="Tahoma" w:hAnsi="Tahoma"/>
          <w:sz w:val="24"/>
        </w:rPr>
        <w:t xml:space="preserve"> cycle are to be used the following Fall</w:t>
      </w:r>
      <w:r>
        <w:rPr>
          <w:rFonts w:ascii="Tahoma" w:hAnsi="Tahoma"/>
          <w:sz w:val="24"/>
        </w:rPr>
        <w:t xml:space="preserve">). Unused funds </w:t>
      </w:r>
      <w:r w:rsidR="00AF7E14">
        <w:rPr>
          <w:rFonts w:ascii="Tahoma" w:hAnsi="Tahoma"/>
          <w:sz w:val="24"/>
        </w:rPr>
        <w:t>must</w:t>
      </w:r>
      <w:r>
        <w:rPr>
          <w:rFonts w:ascii="Tahoma" w:hAnsi="Tahoma"/>
          <w:sz w:val="24"/>
        </w:rPr>
        <w:t xml:space="preserve"> be ret</w:t>
      </w:r>
      <w:r w:rsidR="001520BE">
        <w:rPr>
          <w:rFonts w:ascii="Tahoma" w:hAnsi="Tahoma"/>
          <w:sz w:val="24"/>
        </w:rPr>
        <w:t xml:space="preserve">urned to the PTO by </w:t>
      </w:r>
      <w:r w:rsidR="00AF7E14">
        <w:rPr>
          <w:rFonts w:ascii="Tahoma" w:hAnsi="Tahoma"/>
          <w:sz w:val="24"/>
        </w:rPr>
        <w:t xml:space="preserve">two weeks before the end of </w:t>
      </w:r>
      <w:r w:rsidR="00B21A58">
        <w:rPr>
          <w:rFonts w:ascii="Tahoma" w:hAnsi="Tahoma"/>
          <w:sz w:val="24"/>
        </w:rPr>
        <w:t xml:space="preserve">the </w:t>
      </w:r>
      <w:r w:rsidR="00AF7E14">
        <w:rPr>
          <w:rFonts w:ascii="Tahoma" w:hAnsi="Tahoma"/>
          <w:sz w:val="24"/>
        </w:rPr>
        <w:t>school</w:t>
      </w:r>
      <w:r w:rsidR="00B21A58">
        <w:rPr>
          <w:rFonts w:ascii="Tahoma" w:hAnsi="Tahoma"/>
          <w:sz w:val="24"/>
        </w:rPr>
        <w:t xml:space="preserve"> year</w:t>
      </w:r>
      <w:r>
        <w:rPr>
          <w:rFonts w:ascii="Tahoma" w:hAnsi="Tahoma"/>
          <w:sz w:val="24"/>
        </w:rPr>
        <w:t xml:space="preserve">. </w:t>
      </w:r>
    </w:p>
    <w:p w:rsidR="00A24998" w:rsidRDefault="00A24998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PTO </w:t>
      </w:r>
      <w:r w:rsidR="00882A9C">
        <w:rPr>
          <w:rFonts w:ascii="Tahoma" w:hAnsi="Tahoma"/>
          <w:sz w:val="24"/>
        </w:rPr>
        <w:t>reimbursements</w:t>
      </w:r>
      <w:r>
        <w:rPr>
          <w:rFonts w:ascii="Tahoma" w:hAnsi="Tahoma"/>
          <w:sz w:val="24"/>
        </w:rPr>
        <w:t xml:space="preserve"> will be made by check. Receipts</w:t>
      </w:r>
      <w:r w:rsidR="00882A9C">
        <w:rPr>
          <w:rFonts w:ascii="Tahoma" w:hAnsi="Tahoma"/>
          <w:sz w:val="24"/>
        </w:rPr>
        <w:t xml:space="preserve"> and a filled out Disbursement Form</w:t>
      </w:r>
      <w:r>
        <w:rPr>
          <w:rFonts w:ascii="Tahoma" w:hAnsi="Tahoma"/>
          <w:sz w:val="24"/>
        </w:rPr>
        <w:t xml:space="preserve"> should be submitted to the PTO Treasurer within 60 days of purchase. </w:t>
      </w:r>
    </w:p>
    <w:p w:rsidR="00A24998" w:rsidRDefault="003805B8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If there are remaining grant</w:t>
      </w:r>
      <w:r w:rsidR="00A24998">
        <w:rPr>
          <w:rFonts w:ascii="Tahoma" w:hAnsi="Tahoma"/>
          <w:sz w:val="24"/>
        </w:rPr>
        <w:t xml:space="preserve"> funds after </w:t>
      </w:r>
      <w:r w:rsidR="00882A9C">
        <w:rPr>
          <w:rFonts w:ascii="Tahoma" w:hAnsi="Tahoma"/>
          <w:sz w:val="24"/>
        </w:rPr>
        <w:t xml:space="preserve">the </w:t>
      </w:r>
      <w:r w:rsidR="00A24998">
        <w:rPr>
          <w:rFonts w:ascii="Tahoma" w:hAnsi="Tahoma"/>
          <w:sz w:val="24"/>
        </w:rPr>
        <w:t>Spring Cycle, the PTO General Me</w:t>
      </w:r>
      <w:r w:rsidR="001520BE">
        <w:rPr>
          <w:rFonts w:ascii="Tahoma" w:hAnsi="Tahoma"/>
          <w:sz w:val="24"/>
        </w:rPr>
        <w:t xml:space="preserve">mbership will vote in March </w:t>
      </w:r>
      <w:r w:rsidR="00AF7E14">
        <w:rPr>
          <w:rFonts w:ascii="Tahoma" w:hAnsi="Tahoma"/>
          <w:sz w:val="24"/>
        </w:rPr>
        <w:t>of that year</w:t>
      </w:r>
      <w:r w:rsidR="00A24998">
        <w:rPr>
          <w:rFonts w:ascii="Tahoma" w:hAnsi="Tahoma"/>
          <w:sz w:val="24"/>
        </w:rPr>
        <w:t xml:space="preserve"> as to how best to utilize this money.</w:t>
      </w:r>
    </w:p>
    <w:p w:rsidR="00A24998" w:rsidRDefault="00A24998">
      <w:pPr>
        <w:spacing w:after="0" w:line="240" w:lineRule="auto"/>
        <w:rPr>
          <w:rFonts w:ascii="Times New Roman" w:hAnsi="Times New Roman"/>
          <w:sz w:val="24"/>
        </w:rPr>
      </w:pPr>
    </w:p>
    <w:p w:rsidR="00A24998" w:rsidRDefault="00A24998">
      <w:pPr>
        <w:spacing w:after="0" w:line="240" w:lineRule="auto"/>
        <w:jc w:val="both"/>
        <w:rPr>
          <w:rFonts w:ascii="Tahoma Bold" w:hAnsi="Tahoma Bold"/>
          <w:sz w:val="24"/>
        </w:rPr>
      </w:pPr>
      <w:r>
        <w:rPr>
          <w:rFonts w:ascii="Tahoma Bold" w:hAnsi="Tahoma Bold"/>
          <w:sz w:val="24"/>
        </w:rPr>
        <w:t>Criteria</w:t>
      </w:r>
    </w:p>
    <w:p w:rsidR="0078642C" w:rsidRDefault="007864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4998" w:rsidRDefault="003805B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</w:t>
      </w:r>
      <w:r w:rsidR="00A24998">
        <w:rPr>
          <w:rFonts w:ascii="Tahoma" w:hAnsi="Tahoma"/>
          <w:sz w:val="24"/>
        </w:rPr>
        <w:t xml:space="preserve">rants will be scored based on priorities outlined </w:t>
      </w:r>
      <w:r>
        <w:rPr>
          <w:rFonts w:ascii="Tahoma" w:hAnsi="Tahoma"/>
          <w:sz w:val="24"/>
        </w:rPr>
        <w:t>in the scoring</w:t>
      </w:r>
      <w:r w:rsidR="00A24998">
        <w:rPr>
          <w:rFonts w:ascii="Tahoma" w:hAnsi="Tahoma"/>
          <w:sz w:val="24"/>
        </w:rPr>
        <w:t xml:space="preserve"> rubric.</w:t>
      </w:r>
    </w:p>
    <w:p w:rsidR="00A24998" w:rsidRDefault="00A2499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There may be times when a project scores high but doe</w:t>
      </w:r>
      <w:r w:rsidR="003805B8">
        <w:rPr>
          <w:rFonts w:ascii="Tahoma" w:hAnsi="Tahoma"/>
          <w:sz w:val="24"/>
        </w:rPr>
        <w:t xml:space="preserve">s not align with the PTO’s </w:t>
      </w:r>
      <w:r>
        <w:rPr>
          <w:rFonts w:ascii="Tahoma" w:hAnsi="Tahoma"/>
          <w:sz w:val="24"/>
        </w:rPr>
        <w:t>grant program mission.  If 51% or more of the scorecards do not support a project, it will not be funded.</w:t>
      </w:r>
    </w:p>
    <w:p w:rsidR="00A24998" w:rsidRDefault="00A2499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Mater</w:t>
      </w:r>
      <w:r w:rsidR="003805B8">
        <w:rPr>
          <w:rFonts w:ascii="Tahoma" w:hAnsi="Tahoma"/>
          <w:sz w:val="24"/>
        </w:rPr>
        <w:t xml:space="preserve">ials purchased through the </w:t>
      </w:r>
      <w:r>
        <w:rPr>
          <w:rFonts w:ascii="Tahoma" w:hAnsi="Tahoma"/>
          <w:sz w:val="24"/>
        </w:rPr>
        <w:t>grant program should benefit Laurel students.</w:t>
      </w:r>
    </w:p>
    <w:p w:rsidR="00A24998" w:rsidRDefault="003805B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</w:t>
      </w:r>
      <w:r w:rsidR="00A24998">
        <w:rPr>
          <w:rFonts w:ascii="Tahoma" w:hAnsi="Tahoma"/>
          <w:sz w:val="24"/>
        </w:rPr>
        <w:t xml:space="preserve">rants are meant to support projects in which other funding is not available. </w:t>
      </w:r>
    </w:p>
    <w:p w:rsidR="00A24998" w:rsidRDefault="003805B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 w:hanging="3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Teacher or Staff a</w:t>
      </w:r>
      <w:r w:rsidR="00A24998">
        <w:rPr>
          <w:rFonts w:ascii="Tahoma" w:hAnsi="Tahoma"/>
          <w:sz w:val="24"/>
        </w:rPr>
        <w:t>pplicants who have attended at least 50% of PTO meetings from the</w:t>
      </w:r>
      <w:r>
        <w:rPr>
          <w:rFonts w:ascii="Tahoma" w:hAnsi="Tahoma"/>
          <w:sz w:val="24"/>
        </w:rPr>
        <w:t xml:space="preserve"> previous year can vote on </w:t>
      </w:r>
      <w:r w:rsidR="00A24998">
        <w:rPr>
          <w:rFonts w:ascii="Tahoma" w:hAnsi="Tahoma"/>
          <w:sz w:val="24"/>
        </w:rPr>
        <w:t xml:space="preserve">grant proposals, including their own.  </w:t>
      </w:r>
      <w:r>
        <w:rPr>
          <w:rFonts w:ascii="Tahoma" w:hAnsi="Tahoma"/>
          <w:sz w:val="24"/>
        </w:rPr>
        <w:t>All parents can vote whether or not they have attended previous meetings.</w:t>
      </w:r>
    </w:p>
    <w:p w:rsidR="00A24998" w:rsidRDefault="00A24998">
      <w:pPr>
        <w:spacing w:after="240" w:line="240" w:lineRule="auto"/>
        <w:rPr>
          <w:rFonts w:ascii="Times New Roman" w:hAnsi="Times New Roman"/>
          <w:sz w:val="24"/>
        </w:rPr>
      </w:pPr>
    </w:p>
    <w:p w:rsidR="00A24998" w:rsidRDefault="00A24998">
      <w:pPr>
        <w:spacing w:after="0" w:line="240" w:lineRule="auto"/>
        <w:jc w:val="both"/>
        <w:rPr>
          <w:rFonts w:ascii="Tahoma Bold" w:hAnsi="Tahoma Bold"/>
          <w:sz w:val="24"/>
        </w:rPr>
      </w:pPr>
      <w:r>
        <w:rPr>
          <w:rFonts w:ascii="Tahoma Bold" w:hAnsi="Tahoma Bold"/>
          <w:sz w:val="24"/>
        </w:rPr>
        <w:t>Deadlines</w:t>
      </w:r>
    </w:p>
    <w:p w:rsidR="0078642C" w:rsidRDefault="007864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805B8" w:rsidRPr="00AF7E14" w:rsidRDefault="00AF7E14" w:rsidP="003805B8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AF7E14">
        <w:rPr>
          <w:rFonts w:ascii="Tahoma" w:hAnsi="Tahoma"/>
          <w:sz w:val="24"/>
        </w:rPr>
        <w:t>Please review the online</w:t>
      </w:r>
      <w:r w:rsidR="00321731">
        <w:rPr>
          <w:rFonts w:ascii="Tahoma" w:hAnsi="Tahoma"/>
          <w:sz w:val="24"/>
        </w:rPr>
        <w:t xml:space="preserve"> form for current year deadline dates and Grant Coordinator Contact information</w:t>
      </w:r>
      <w:r w:rsidRPr="00AF7E14">
        <w:rPr>
          <w:rFonts w:ascii="Tahoma" w:hAnsi="Tahoma"/>
          <w:sz w:val="24"/>
        </w:rPr>
        <w:t>.</w:t>
      </w:r>
    </w:p>
    <w:p w:rsidR="003805B8" w:rsidRDefault="003805B8">
      <w:pPr>
        <w:spacing w:after="0" w:line="240" w:lineRule="auto"/>
        <w:ind w:firstLine="720"/>
        <w:jc w:val="both"/>
        <w:rPr>
          <w:rFonts w:ascii="Tahoma" w:hAnsi="Tahoma"/>
          <w:sz w:val="24"/>
        </w:rPr>
      </w:pPr>
    </w:p>
    <w:p w:rsidR="006A40F6" w:rsidRDefault="006A40F6">
      <w:pPr>
        <w:spacing w:after="0" w:line="240" w:lineRule="auto"/>
        <w:ind w:firstLine="720"/>
        <w:jc w:val="both"/>
        <w:rPr>
          <w:rFonts w:ascii="Tahoma" w:hAnsi="Tahoma"/>
          <w:sz w:val="24"/>
        </w:rPr>
      </w:pPr>
    </w:p>
    <w:p w:rsidR="00A24998" w:rsidRPr="00BB6B17" w:rsidRDefault="003805B8" w:rsidP="00BB6B17">
      <w:pPr>
        <w:spacing w:after="0" w:line="240" w:lineRule="auto"/>
        <w:jc w:val="both"/>
        <w:rPr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Rev. </w:t>
      </w:r>
      <w:r w:rsidR="00B21A58">
        <w:rPr>
          <w:rFonts w:ascii="Tahoma" w:hAnsi="Tahoma"/>
          <w:sz w:val="16"/>
          <w:szCs w:val="16"/>
        </w:rPr>
        <w:t>09/23</w:t>
      </w:r>
      <w:r w:rsidR="00882A9C">
        <w:rPr>
          <w:rFonts w:ascii="Tahoma" w:hAnsi="Tahoma"/>
          <w:sz w:val="16"/>
          <w:szCs w:val="16"/>
        </w:rPr>
        <w:t>/15</w:t>
      </w:r>
    </w:p>
    <w:sectPr w:rsidR="00A24998" w:rsidRPr="00BB6B17" w:rsidSect="0067288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EA" w:rsidRDefault="00D277EA">
      <w:r>
        <w:separator/>
      </w:r>
    </w:p>
  </w:endnote>
  <w:endnote w:type="continuationSeparator" w:id="0">
    <w:p w:rsidR="00D277EA" w:rsidRDefault="00D2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 Bold">
    <w:panose1 w:val="020B080403050404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8" w:rsidRDefault="00A24998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8" w:rsidRDefault="00A24998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EA" w:rsidRDefault="00D277EA">
      <w:r>
        <w:separator/>
      </w:r>
    </w:p>
  </w:footnote>
  <w:footnote w:type="continuationSeparator" w:id="0">
    <w:p w:rsidR="00D277EA" w:rsidRDefault="00D2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8" w:rsidRDefault="00A24998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8" w:rsidRDefault="00A24998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2">
    <w:nsid w:val="0000000D"/>
    <w:multiLevelType w:val="multilevel"/>
    <w:tmpl w:val="894EE87F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0BE"/>
    <w:rsid w:val="00137926"/>
    <w:rsid w:val="001520BE"/>
    <w:rsid w:val="0018118C"/>
    <w:rsid w:val="002A7069"/>
    <w:rsid w:val="00321731"/>
    <w:rsid w:val="003805B8"/>
    <w:rsid w:val="00390667"/>
    <w:rsid w:val="003D1A49"/>
    <w:rsid w:val="004874D7"/>
    <w:rsid w:val="00637E17"/>
    <w:rsid w:val="0067288C"/>
    <w:rsid w:val="006A40F6"/>
    <w:rsid w:val="00701C3F"/>
    <w:rsid w:val="00756303"/>
    <w:rsid w:val="00757C89"/>
    <w:rsid w:val="0078642C"/>
    <w:rsid w:val="00882A9C"/>
    <w:rsid w:val="00A24998"/>
    <w:rsid w:val="00AF7E14"/>
    <w:rsid w:val="00B21A58"/>
    <w:rsid w:val="00BA05B1"/>
    <w:rsid w:val="00BB6B17"/>
    <w:rsid w:val="00D2411D"/>
    <w:rsid w:val="00D277EA"/>
    <w:rsid w:val="00D709D7"/>
    <w:rsid w:val="00F7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57C89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757C8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BalloonText">
    <w:name w:val="Balloon Text"/>
    <w:basedOn w:val="Normal"/>
    <w:semiHidden/>
    <w:locked/>
    <w:rsid w:val="00152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</dc:creator>
  <cp:keywords/>
  <cp:lastModifiedBy>Lisa Cunningham</cp:lastModifiedBy>
  <cp:revision>2</cp:revision>
  <cp:lastPrinted>2013-09-11T02:38:00Z</cp:lastPrinted>
  <dcterms:created xsi:type="dcterms:W3CDTF">2015-09-24T20:43:00Z</dcterms:created>
  <dcterms:modified xsi:type="dcterms:W3CDTF">2015-09-24T20:43:00Z</dcterms:modified>
</cp:coreProperties>
</file>